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UCAYALI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27 — UCAYALI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SALCEDO BENITES ROGER ISMAEL (DNI 26960778)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1.426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CRUZ GRANDEZ, JOHNNY ALEXANDER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40799672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SALAZAR MALDONADO, JORGE LUIS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41912982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DIAZ ANGULO, ARTURO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45801719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LARA SUAREZ, JESSICA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40527178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MURAYARI SORIA, FREDESVINDA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05374948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27-001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ATALAYA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168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27-002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CORONEL PORTILLO · PURÚS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833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27-003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PADRE ABAD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425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1.426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1.426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UCAYALI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CRUZ GRANDEZ, JOHNNY ALEXANDER  ·  DNI 40799672  ·  TITULAR</w:t>
      </w:r>
    </w:p>
    <w:p>
      <w:pPr>
        <w:pStyle w:val="ListBullet"/>
      </w:pPr>
      <w:r>
        <w:rPr>
          <w:b/>
          <w:sz w:val="21"/>
        </w:rPr>
        <w:t xml:space="preserve">   ⚫ SALAZAR MALDONADO, JORGE LUIS  ·  DNI 41912982  ·  TITULAR</w:t>
      </w:r>
    </w:p>
    <w:p>
      <w:pPr>
        <w:pStyle w:val="ListBullet"/>
      </w:pPr>
      <w:r>
        <w:rPr>
          <w:sz w:val="21"/>
        </w:rPr>
        <w:t xml:space="preserve">   ⚪ DIAZ ANGULO, ARTURO  ·  DNI 45801719  ·  ACCESITARIO</w:t>
      </w:r>
    </w:p>
    <w:p>
      <w:pPr>
        <w:pStyle w:val="ListBullet"/>
      </w:pPr>
      <w:r>
        <w:rPr>
          <w:sz w:val="21"/>
        </w:rPr>
        <w:t xml:space="preserve">   ⚪ LARA SUAREZ, JESSICA  ·  DNI 40527178  ·  ACCESITARIO</w:t>
      </w:r>
    </w:p>
    <w:p>
      <w:pPr>
        <w:pStyle w:val="ListBullet"/>
      </w:pPr>
      <w:r>
        <w:rPr>
          <w:sz w:val="21"/>
        </w:rPr>
        <w:t xml:space="preserve">   ⚪ MURAYARI SORIA, FREDESVINDA  ·  DNI 05374948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UCAYALI,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